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99" w:rsidRPr="00D768A0" w:rsidRDefault="009D1B99" w:rsidP="009D1B99">
      <w:pPr>
        <w:pStyle w:val="Caption"/>
        <w:widowControl/>
        <w:ind w:firstLine="720"/>
        <w:rPr>
          <w:color w:val="000000"/>
          <w:sz w:val="32"/>
          <w:szCs w:val="32"/>
        </w:rPr>
      </w:pPr>
      <w:r>
        <w:rPr>
          <w:noProof/>
          <w:sz w:val="32"/>
          <w:szCs w:val="32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page">
              <wp:posOffset>775335</wp:posOffset>
            </wp:positionH>
            <wp:positionV relativeFrom="paragraph">
              <wp:posOffset>33020</wp:posOffset>
            </wp:positionV>
            <wp:extent cx="774700" cy="9906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8A0">
        <w:rPr>
          <w:color w:val="000000"/>
          <w:sz w:val="32"/>
          <w:szCs w:val="32"/>
        </w:rPr>
        <w:t xml:space="preserve">MINISTERUL SĂNĂTĂŢII </w:t>
      </w:r>
    </w:p>
    <w:p w:rsidR="009D1B99" w:rsidRPr="006A2475" w:rsidRDefault="009D1B99" w:rsidP="009D1B99">
      <w:pPr>
        <w:ind w:firstLine="720"/>
        <w:jc w:val="center"/>
        <w:rPr>
          <w:b/>
          <w:sz w:val="28"/>
          <w:szCs w:val="28"/>
        </w:rPr>
      </w:pPr>
      <w:r w:rsidRPr="006A2475">
        <w:rPr>
          <w:b/>
          <w:sz w:val="28"/>
          <w:szCs w:val="28"/>
        </w:rPr>
        <w:t>DIRECȚ</w:t>
      </w:r>
      <w:r w:rsidRPr="006A2475">
        <w:rPr>
          <w:b/>
          <w:sz w:val="28"/>
          <w:szCs w:val="28"/>
        </w:rPr>
        <w:t>IA DE SĂNĂTATE PUBLICĂ</w:t>
      </w:r>
    </w:p>
    <w:p w:rsidR="009D1B99" w:rsidRPr="006A2475" w:rsidRDefault="009D1B99" w:rsidP="009D1B99">
      <w:pPr>
        <w:ind w:firstLine="720"/>
        <w:jc w:val="center"/>
        <w:rPr>
          <w:b/>
          <w:sz w:val="28"/>
          <w:szCs w:val="28"/>
        </w:rPr>
      </w:pPr>
      <w:r w:rsidRPr="006A2475">
        <w:rPr>
          <w:b/>
          <w:sz w:val="28"/>
          <w:szCs w:val="28"/>
        </w:rPr>
        <w:t>A JUDEŢULUI ARAD</w:t>
      </w:r>
    </w:p>
    <w:p w:rsidR="009D1B99" w:rsidRDefault="009D1B99" w:rsidP="009D1B99">
      <w:pPr>
        <w:framePr w:w="326" w:h="1295" w:wrap="notBeside" w:vAnchor="text" w:hAnchor="page" w:x="862" w:y="1"/>
        <w:widowControl/>
        <w:jc w:val="center"/>
      </w:pPr>
    </w:p>
    <w:p w:rsidR="009D1B99" w:rsidRPr="00FD1779" w:rsidRDefault="009D1B99" w:rsidP="009D1B99">
      <w:pPr>
        <w:pStyle w:val="Heading5"/>
        <w:widowControl/>
        <w:ind w:firstLine="720"/>
        <w:rPr>
          <w:b w:val="0"/>
          <w:color w:val="000000"/>
        </w:rPr>
      </w:pPr>
      <w:r>
        <w:rPr>
          <w:b w:val="0"/>
          <w:color w:val="000000"/>
        </w:rPr>
        <w:t xml:space="preserve">    </w:t>
      </w:r>
      <w:r>
        <w:rPr>
          <w:b w:val="0"/>
          <w:color w:val="000000"/>
        </w:rPr>
        <w:t>Arad</w:t>
      </w:r>
      <w:r w:rsidRPr="00FD1779">
        <w:rPr>
          <w:b w:val="0"/>
          <w:color w:val="000000"/>
        </w:rPr>
        <w:t>,</w:t>
      </w:r>
      <w:r>
        <w:rPr>
          <w:b w:val="0"/>
          <w:color w:val="000000"/>
        </w:rPr>
        <w:t xml:space="preserve"> Str. Florilor Nr. 1</w:t>
      </w:r>
      <w:r w:rsidRPr="00FD1779">
        <w:rPr>
          <w:b w:val="0"/>
          <w:color w:val="000000"/>
        </w:rPr>
        <w:t xml:space="preserve">  </w:t>
      </w:r>
      <w:r w:rsidRPr="00FD1779">
        <w:rPr>
          <w:b w:val="0"/>
          <w:color w:val="000000"/>
        </w:rPr>
        <w:fldChar w:fldCharType="begin"/>
      </w:r>
      <w:r w:rsidRPr="00FD1779">
        <w:rPr>
          <w:b w:val="0"/>
          <w:color w:val="000000"/>
        </w:rPr>
        <w:instrText>symbol 40 \f "Wingdings" \s 12</w:instrText>
      </w:r>
      <w:r w:rsidRPr="00FD1779">
        <w:rPr>
          <w:b w:val="0"/>
          <w:color w:val="000000"/>
        </w:rPr>
        <w:fldChar w:fldCharType="separate"/>
      </w:r>
      <w:r w:rsidRPr="00FD1779">
        <w:rPr>
          <w:rFonts w:ascii="Wingdings" w:hAnsi="Wingdings"/>
          <w:b w:val="0"/>
          <w:color w:val="000000"/>
        </w:rPr>
        <w:t>(</w:t>
      </w:r>
      <w:r w:rsidRPr="00FD1779">
        <w:rPr>
          <w:b w:val="0"/>
          <w:color w:val="000000"/>
        </w:rPr>
        <w:fldChar w:fldCharType="end"/>
      </w:r>
      <w:r w:rsidRPr="00FD1779">
        <w:rPr>
          <w:b w:val="0"/>
          <w:color w:val="000000"/>
        </w:rPr>
        <w:t xml:space="preserve"> 0257/254 438 </w:t>
      </w:r>
    </w:p>
    <w:p w:rsidR="009D1B99" w:rsidRDefault="009D1B99" w:rsidP="009D1B99">
      <w:pPr>
        <w:pStyle w:val="Heading5"/>
        <w:widowControl/>
        <w:ind w:firstLine="720"/>
        <w:rPr>
          <w:b w:val="0"/>
          <w:color w:val="000000"/>
        </w:rPr>
      </w:pPr>
      <w:r>
        <w:rPr>
          <w:b w:val="0"/>
          <w:color w:val="000000"/>
        </w:rPr>
        <w:t xml:space="preserve">  fax: 0257/ 230010 , </w:t>
      </w:r>
      <w:r w:rsidRPr="00FD1779">
        <w:rPr>
          <w:b w:val="0"/>
          <w:color w:val="000000"/>
        </w:rPr>
        <w:t xml:space="preserve"> e-mail: </w:t>
      </w:r>
      <w:hyperlink r:id="rId7" w:history="1">
        <w:r w:rsidRPr="0040631C">
          <w:rPr>
            <w:rStyle w:val="Hyperlink"/>
          </w:rPr>
          <w:t>dspj.ar@rdslink.ro</w:t>
        </w:r>
      </w:hyperlink>
    </w:p>
    <w:p w:rsidR="009D1B99" w:rsidRPr="0051382E" w:rsidRDefault="009D1B99" w:rsidP="009D1B99"/>
    <w:p w:rsidR="009D1B99" w:rsidRDefault="009D1B99" w:rsidP="009D1B99">
      <w:pPr>
        <w:widowControl/>
        <w:rPr>
          <w:sz w:val="32"/>
        </w:rPr>
      </w:pPr>
      <w:r>
        <w:rPr>
          <w:sz w:val="32"/>
        </w:rPr>
        <w:t xml:space="preserve">                                               </w:t>
      </w:r>
    </w:p>
    <w:p w:rsidR="009D1B99" w:rsidRPr="009D1B99" w:rsidRDefault="009D1B99" w:rsidP="009D1B99">
      <w:pPr>
        <w:widowControl/>
        <w:rPr>
          <w:szCs w:val="24"/>
          <w:lang w:val="en-US"/>
        </w:rPr>
      </w:pPr>
      <w:r w:rsidRPr="009D1B99">
        <w:rPr>
          <w:szCs w:val="24"/>
        </w:rPr>
        <w:t xml:space="preserve">                                                                                            </w:t>
      </w:r>
      <w:r w:rsidR="006A2475">
        <w:rPr>
          <w:szCs w:val="24"/>
        </w:rPr>
        <w:t xml:space="preserve">               </w:t>
      </w:r>
      <w:r w:rsidRPr="009D1B99">
        <w:rPr>
          <w:szCs w:val="24"/>
        </w:rPr>
        <w:t xml:space="preserve">          Nr. </w:t>
      </w:r>
      <w:r w:rsidR="006A2475">
        <w:rPr>
          <w:szCs w:val="24"/>
        </w:rPr>
        <w:t>452 / 30.01.2015</w:t>
      </w:r>
    </w:p>
    <w:p w:rsidR="009D1B99" w:rsidRPr="003D4895" w:rsidRDefault="009D1B99" w:rsidP="009D1B99">
      <w:pPr>
        <w:widowControl/>
        <w:rPr>
          <w:sz w:val="28"/>
          <w:szCs w:val="28"/>
        </w:rPr>
      </w:pPr>
    </w:p>
    <w:p w:rsidR="009D1B99" w:rsidRPr="006A2475" w:rsidRDefault="009D1B99" w:rsidP="009D1B99">
      <w:pPr>
        <w:jc w:val="both"/>
        <w:rPr>
          <w:szCs w:val="24"/>
        </w:rPr>
      </w:pPr>
      <w:r w:rsidRPr="006A2475">
        <w:rPr>
          <w:szCs w:val="24"/>
        </w:rPr>
        <w:t xml:space="preserve">                   Către,</w:t>
      </w:r>
    </w:p>
    <w:p w:rsidR="009D1B99" w:rsidRDefault="009D1B99" w:rsidP="009D1B99">
      <w:pPr>
        <w:jc w:val="both"/>
      </w:pPr>
    </w:p>
    <w:p w:rsidR="009D1B99" w:rsidRDefault="009D1B99" w:rsidP="009D1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MINISTERUL SĂNĂTĂŢII</w:t>
      </w:r>
    </w:p>
    <w:p w:rsidR="009D1B99" w:rsidRDefault="009D1B99" w:rsidP="009D1B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INSTITUTUL NAŢIONAL DE SĂNĂTATE   PUBLICĂ</w:t>
      </w:r>
    </w:p>
    <w:p w:rsidR="009D1B99" w:rsidRDefault="009D1B99" w:rsidP="009D1B9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CENTRUL NAŢIONAL DE MODERNIZARE A RISCURILOR DIN MEDIUL COMUNITAR</w:t>
      </w:r>
    </w:p>
    <w:p w:rsidR="009D1B99" w:rsidRDefault="009D1B99" w:rsidP="009D1B99">
      <w:pPr>
        <w:widowControl/>
        <w:rPr>
          <w:sz w:val="32"/>
        </w:rPr>
      </w:pPr>
    </w:p>
    <w:p w:rsidR="009D1B99" w:rsidRPr="006A2475" w:rsidRDefault="009D1B99" w:rsidP="009D1B99">
      <w:pPr>
        <w:ind w:firstLine="720"/>
        <w:jc w:val="both"/>
        <w:rPr>
          <w:szCs w:val="24"/>
        </w:rPr>
      </w:pPr>
      <w:r w:rsidRPr="00741A47">
        <w:rPr>
          <w:szCs w:val="24"/>
        </w:rPr>
        <w:t xml:space="preserve"> </w:t>
      </w:r>
      <w:r w:rsidRPr="006A2475">
        <w:rPr>
          <w:szCs w:val="24"/>
        </w:rPr>
        <w:t>Ca urmare a medodologiei „Supravegherea calităţii apei potabile distribuite în sistem centralizat în zonele de aprovi</w:t>
      </w:r>
      <w:r w:rsidRPr="006A2475">
        <w:rPr>
          <w:szCs w:val="24"/>
        </w:rPr>
        <w:t>zionare mari”, raport anual 2014</w:t>
      </w:r>
      <w:r w:rsidRPr="006A2475">
        <w:rPr>
          <w:szCs w:val="24"/>
        </w:rPr>
        <w:t xml:space="preserve"> vă transmitem datele solicitate in format Word, cât şi macheta în format excell pe adresa de email: </w:t>
      </w:r>
      <w:hyperlink r:id="rId8" w:history="1">
        <w:r w:rsidRPr="006A2475">
          <w:rPr>
            <w:rStyle w:val="Hyperlink"/>
            <w:color w:val="auto"/>
            <w:szCs w:val="24"/>
            <w:u w:val="none"/>
          </w:rPr>
          <w:t>anca.tudor@insp.gov.ro</w:t>
        </w:r>
      </w:hyperlink>
    </w:p>
    <w:p w:rsidR="009D1B99" w:rsidRPr="006A2475" w:rsidRDefault="009D1B99" w:rsidP="009D1B99">
      <w:pPr>
        <w:rPr>
          <w:szCs w:val="24"/>
        </w:rPr>
      </w:pPr>
    </w:p>
    <w:p w:rsidR="009D1B99" w:rsidRPr="006A2475" w:rsidRDefault="009D1B99" w:rsidP="009D1B99">
      <w:pPr>
        <w:rPr>
          <w:szCs w:val="24"/>
        </w:rPr>
      </w:pPr>
      <w:r w:rsidRPr="006A2475">
        <w:rPr>
          <w:szCs w:val="24"/>
        </w:rPr>
        <w:t>1.  În cursul anului 2014</w:t>
      </w:r>
      <w:r w:rsidRPr="006A2475">
        <w:rPr>
          <w:szCs w:val="24"/>
        </w:rPr>
        <w:t xml:space="preserve"> nu am avut cazuri de epidemii hidrice.</w:t>
      </w:r>
    </w:p>
    <w:p w:rsidR="009D1B99" w:rsidRPr="006A2475" w:rsidRDefault="009D1B99" w:rsidP="009D1B99">
      <w:pPr>
        <w:jc w:val="both"/>
        <w:rPr>
          <w:szCs w:val="24"/>
        </w:rPr>
      </w:pPr>
      <w:r w:rsidRPr="006A2475">
        <w:rPr>
          <w:szCs w:val="24"/>
        </w:rPr>
        <w:t>2.</w:t>
      </w:r>
      <w:r w:rsidRPr="006A2475">
        <w:rPr>
          <w:b/>
          <w:szCs w:val="24"/>
        </w:rPr>
        <w:t xml:space="preserve"> </w:t>
      </w:r>
      <w:r w:rsidRPr="006A2475">
        <w:rPr>
          <w:szCs w:val="24"/>
        </w:rPr>
        <w:t xml:space="preserve">În </w:t>
      </w:r>
      <w:r w:rsidRPr="006A2475">
        <w:rPr>
          <w:szCs w:val="24"/>
        </w:rPr>
        <w:t>cursul anului 2014</w:t>
      </w:r>
      <w:r w:rsidRPr="006A2475">
        <w:rPr>
          <w:szCs w:val="24"/>
        </w:rPr>
        <w:t xml:space="preserve"> nu am avut cazuri de methemoglobinemie acută infantilă generate de apa din fântână.</w:t>
      </w:r>
    </w:p>
    <w:p w:rsidR="009D1B99" w:rsidRPr="006A2475" w:rsidRDefault="009D1B99" w:rsidP="009D1B99">
      <w:pPr>
        <w:tabs>
          <w:tab w:val="center" w:pos="4932"/>
        </w:tabs>
        <w:rPr>
          <w:szCs w:val="24"/>
          <w:lang w:val="it-IT"/>
        </w:rPr>
      </w:pPr>
      <w:r w:rsidRPr="006A2475">
        <w:rPr>
          <w:szCs w:val="24"/>
          <w:lang w:val="it-IT"/>
        </w:rPr>
        <w:t>3.</w:t>
      </w:r>
      <w:r w:rsidRPr="006A2475">
        <w:rPr>
          <w:b/>
          <w:szCs w:val="24"/>
          <w:lang w:val="it-IT"/>
        </w:rPr>
        <w:t xml:space="preserve">  </w:t>
      </w:r>
      <w:r w:rsidRPr="006A2475">
        <w:rPr>
          <w:szCs w:val="24"/>
          <w:lang w:val="it-IT"/>
        </w:rPr>
        <w:t>Numărul de fântâni publice şi private in judeţ</w:t>
      </w:r>
      <w:r w:rsidRPr="006A2475">
        <w:rPr>
          <w:szCs w:val="24"/>
          <w:lang w:val="it-IT"/>
        </w:rPr>
        <w:t>ul Arad pe anul 2014</w:t>
      </w:r>
      <w:r w:rsidRPr="006A2475">
        <w:rPr>
          <w:szCs w:val="24"/>
          <w:lang w:val="it-IT"/>
        </w:rPr>
        <w:t>.</w:t>
      </w:r>
    </w:p>
    <w:p w:rsidR="009D1B99" w:rsidRPr="006A2475" w:rsidRDefault="009D1B99" w:rsidP="009D1B99">
      <w:pPr>
        <w:jc w:val="both"/>
        <w:rPr>
          <w:szCs w:val="24"/>
        </w:rPr>
      </w:pPr>
      <w:r w:rsidRPr="006A2475">
        <w:rPr>
          <w:szCs w:val="24"/>
        </w:rPr>
        <w:t xml:space="preserve">     Fântâni publice       1 021</w:t>
      </w:r>
    </w:p>
    <w:p w:rsidR="009D1B99" w:rsidRPr="006A2475" w:rsidRDefault="009D1B99" w:rsidP="009D1B99">
      <w:pPr>
        <w:jc w:val="both"/>
        <w:rPr>
          <w:szCs w:val="24"/>
        </w:rPr>
      </w:pPr>
      <w:r w:rsidRPr="006A2475">
        <w:rPr>
          <w:szCs w:val="24"/>
        </w:rPr>
        <w:t xml:space="preserve">     Fântâni private      26 649</w:t>
      </w:r>
    </w:p>
    <w:p w:rsidR="009D1B99" w:rsidRPr="006A2475" w:rsidRDefault="009D1B99" w:rsidP="009D1B99">
      <w:pPr>
        <w:jc w:val="both"/>
        <w:rPr>
          <w:szCs w:val="24"/>
        </w:rPr>
      </w:pPr>
      <w:r w:rsidRPr="006A2475">
        <w:rPr>
          <w:szCs w:val="24"/>
        </w:rPr>
        <w:t xml:space="preserve">   </w:t>
      </w:r>
      <w:r w:rsidRPr="006A2475">
        <w:rPr>
          <w:szCs w:val="24"/>
        </w:rPr>
        <w:t xml:space="preserve"> </w:t>
      </w:r>
      <w:r w:rsidRPr="006A2475">
        <w:rPr>
          <w:szCs w:val="24"/>
        </w:rPr>
        <w:t xml:space="preserve"> TOTAL         </w:t>
      </w:r>
      <w:r w:rsidRPr="006A2475">
        <w:rPr>
          <w:szCs w:val="24"/>
        </w:rPr>
        <w:t xml:space="preserve">      </w:t>
      </w:r>
      <w:r w:rsidRPr="006A2475">
        <w:rPr>
          <w:szCs w:val="24"/>
        </w:rPr>
        <w:t xml:space="preserve">  27 670</w:t>
      </w:r>
    </w:p>
    <w:p w:rsidR="009D1B99" w:rsidRPr="006A2475" w:rsidRDefault="009D1B99" w:rsidP="009D1B99">
      <w:pPr>
        <w:jc w:val="both"/>
        <w:rPr>
          <w:szCs w:val="24"/>
        </w:rPr>
      </w:pPr>
      <w:r w:rsidRPr="006A2475">
        <w:rPr>
          <w:szCs w:val="24"/>
        </w:rPr>
        <w:t>Număr de controale efectuat</w:t>
      </w:r>
      <w:r w:rsidRPr="006A2475">
        <w:rPr>
          <w:szCs w:val="24"/>
        </w:rPr>
        <w:t>e    16</w:t>
      </w:r>
      <w:r w:rsidRPr="006A2475">
        <w:rPr>
          <w:szCs w:val="24"/>
        </w:rPr>
        <w:t>8</w:t>
      </w:r>
    </w:p>
    <w:p w:rsidR="005C52F7" w:rsidRPr="006A2475" w:rsidRDefault="005C52F7" w:rsidP="005C52F7">
      <w:pPr>
        <w:jc w:val="both"/>
        <w:rPr>
          <w:b/>
          <w:szCs w:val="24"/>
        </w:rPr>
      </w:pPr>
      <w:r w:rsidRPr="006A2475">
        <w:rPr>
          <w:b/>
          <w:szCs w:val="24"/>
        </w:rPr>
        <w:t>LABORATOARE</w:t>
      </w:r>
    </w:p>
    <w:p w:rsidR="005C52F7" w:rsidRPr="006A2475" w:rsidRDefault="005C52F7" w:rsidP="005C52F7">
      <w:pPr>
        <w:rPr>
          <w:b/>
          <w:szCs w:val="24"/>
        </w:rPr>
      </w:pPr>
      <w:r w:rsidRPr="006A2475">
        <w:rPr>
          <w:b/>
          <w:szCs w:val="24"/>
        </w:rPr>
        <w:t>Laboratorul DSP ARAD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 xml:space="preserve">   </w:t>
      </w:r>
      <w:r w:rsidR="006A2475">
        <w:rPr>
          <w:szCs w:val="24"/>
        </w:rPr>
        <w:t xml:space="preserve">  </w:t>
      </w:r>
      <w:r w:rsidRPr="006A2475">
        <w:rPr>
          <w:szCs w:val="24"/>
        </w:rPr>
        <w:t xml:space="preserve">  S</w:t>
      </w:r>
      <w:r w:rsidRPr="006A2475">
        <w:rPr>
          <w:szCs w:val="24"/>
        </w:rPr>
        <w:t>-a emis de către Ministerul Sănătăţii - Cer</w:t>
      </w:r>
      <w:r w:rsidRPr="006A2475">
        <w:rPr>
          <w:szCs w:val="24"/>
        </w:rPr>
        <w:t>tificatul de înregistrare nr. 339 / 10.12.2014</w:t>
      </w:r>
      <w:r w:rsidRPr="006A2475">
        <w:rPr>
          <w:szCs w:val="24"/>
        </w:rPr>
        <w:t xml:space="preserve"> pentru Laboratorul de microbiologie ş</w:t>
      </w:r>
      <w:r w:rsidRPr="006A2475">
        <w:rPr>
          <w:szCs w:val="24"/>
        </w:rPr>
        <w:t xml:space="preserve">i </w:t>
      </w:r>
      <w:r w:rsidRPr="006A2475">
        <w:rPr>
          <w:szCs w:val="24"/>
        </w:rPr>
        <w:t xml:space="preserve"> Laboratorul de chimie sanitară şi toxicologie.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 xml:space="preserve">   </w:t>
      </w:r>
      <w:r w:rsidR="006A2475">
        <w:rPr>
          <w:szCs w:val="24"/>
        </w:rPr>
        <w:t xml:space="preserve">  </w:t>
      </w:r>
      <w:r w:rsidRPr="006A2475">
        <w:rPr>
          <w:szCs w:val="24"/>
        </w:rPr>
        <w:t xml:space="preserve"> </w:t>
      </w:r>
      <w:r w:rsidRPr="006A2475">
        <w:rPr>
          <w:szCs w:val="24"/>
        </w:rPr>
        <w:t xml:space="preserve"> Lista parametrilor (analize) pent</w:t>
      </w:r>
      <w:r w:rsidRPr="006A2475">
        <w:rPr>
          <w:szCs w:val="24"/>
        </w:rPr>
        <w:t>ru laboratorul de microbiologie – metoda de analiză: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Bacterii coliforme</w:t>
      </w:r>
      <w:r w:rsidRPr="006A2475">
        <w:rPr>
          <w:szCs w:val="24"/>
        </w:rPr>
        <w:t xml:space="preserve">  - SR EN ISO 9308-1/2004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Escherichia Coli</w:t>
      </w:r>
      <w:r w:rsidRPr="006A2475">
        <w:rPr>
          <w:szCs w:val="24"/>
        </w:rPr>
        <w:t xml:space="preserve">     - SR EN ISO 9308-1/2004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Enterococi</w:t>
      </w:r>
      <w:r w:rsidRPr="006A2475">
        <w:rPr>
          <w:szCs w:val="24"/>
        </w:rPr>
        <w:t xml:space="preserve"> (Streptococi fecali) – SR EN ISO 7899-2/2002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Pseudomonas Aeruginosa</w:t>
      </w:r>
      <w:r w:rsidRPr="006A2475">
        <w:rPr>
          <w:szCs w:val="24"/>
        </w:rPr>
        <w:t xml:space="preserve"> – SR EN ISO 16266/2008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Număr de colonii la 22°C</w:t>
      </w:r>
      <w:r w:rsidR="00E613E5" w:rsidRPr="006A2475">
        <w:rPr>
          <w:szCs w:val="24"/>
        </w:rPr>
        <w:t xml:space="preserve"> și </w:t>
      </w:r>
      <w:r w:rsidRPr="006A2475">
        <w:rPr>
          <w:szCs w:val="24"/>
        </w:rPr>
        <w:t xml:space="preserve"> </w:t>
      </w:r>
      <w:r w:rsidR="00E613E5" w:rsidRPr="006A2475">
        <w:rPr>
          <w:szCs w:val="24"/>
        </w:rPr>
        <w:t xml:space="preserve">37°C </w:t>
      </w:r>
      <w:r w:rsidRPr="006A2475">
        <w:rPr>
          <w:szCs w:val="24"/>
        </w:rPr>
        <w:t>– SR EN ISO 6222/2004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Clostridium Perfringens</w:t>
      </w:r>
      <w:r w:rsidRPr="006A2475">
        <w:rPr>
          <w:szCs w:val="24"/>
        </w:rPr>
        <w:t xml:space="preserve"> – Legea 311/2004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Prelevare</w:t>
      </w:r>
      <w:r w:rsidRPr="006A2475">
        <w:rPr>
          <w:szCs w:val="24"/>
        </w:rPr>
        <w:t xml:space="preserve">, conservare, transport, păstrare și identificare probe </w:t>
      </w:r>
      <w:r w:rsidR="00F20FE6" w:rsidRPr="006A2475">
        <w:rPr>
          <w:szCs w:val="24"/>
        </w:rPr>
        <w:t>–</w:t>
      </w:r>
      <w:r w:rsidRPr="006A2475">
        <w:rPr>
          <w:szCs w:val="24"/>
        </w:rPr>
        <w:t xml:space="preserve"> SR</w:t>
      </w:r>
      <w:r w:rsidR="00F20FE6" w:rsidRPr="006A2475">
        <w:rPr>
          <w:szCs w:val="24"/>
        </w:rPr>
        <w:t xml:space="preserve"> EN ISO 19458/2007</w:t>
      </w:r>
    </w:p>
    <w:p w:rsidR="005C52F7" w:rsidRPr="006A2475" w:rsidRDefault="006A2475" w:rsidP="005C52F7">
      <w:pPr>
        <w:jc w:val="both"/>
        <w:rPr>
          <w:szCs w:val="24"/>
        </w:rPr>
      </w:pPr>
      <w:r>
        <w:rPr>
          <w:szCs w:val="24"/>
        </w:rPr>
        <w:t xml:space="preserve">      </w:t>
      </w:r>
      <w:r w:rsidR="00F20FE6" w:rsidRPr="006A2475">
        <w:rPr>
          <w:szCs w:val="24"/>
        </w:rPr>
        <w:t xml:space="preserve"> Lista analizelor</w:t>
      </w:r>
      <w:r w:rsidR="005C52F7" w:rsidRPr="006A2475">
        <w:rPr>
          <w:szCs w:val="24"/>
        </w:rPr>
        <w:t xml:space="preserve"> pentru laboratorul de chimie sanitară</w:t>
      </w:r>
      <w:r w:rsidR="00F20FE6" w:rsidRPr="006A2475">
        <w:rPr>
          <w:szCs w:val="24"/>
        </w:rPr>
        <w:t xml:space="preserve"> şi toxicologie – metoda de analiză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Prelevare, conservare, transport, pă</w:t>
      </w:r>
      <w:r w:rsidR="00F20FE6" w:rsidRPr="006A2475">
        <w:rPr>
          <w:szCs w:val="24"/>
        </w:rPr>
        <w:t>strare ș</w:t>
      </w:r>
      <w:r w:rsidRPr="006A2475">
        <w:rPr>
          <w:szCs w:val="24"/>
        </w:rPr>
        <w:t>i identificare</w:t>
      </w:r>
      <w:r w:rsidR="00F20FE6" w:rsidRPr="006A2475">
        <w:rPr>
          <w:szCs w:val="24"/>
        </w:rPr>
        <w:t xml:space="preserve"> – SR ISO 5667-3/2013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Culoare</w:t>
      </w:r>
      <w:r w:rsidR="00F20FE6" w:rsidRPr="006A2475">
        <w:rPr>
          <w:szCs w:val="24"/>
        </w:rPr>
        <w:t xml:space="preserve"> – SR EN 7887/2012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Miros</w:t>
      </w:r>
      <w:r w:rsidR="00F20FE6" w:rsidRPr="006A2475">
        <w:rPr>
          <w:szCs w:val="24"/>
        </w:rPr>
        <w:t xml:space="preserve"> – SR EN 1622/2007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 xml:space="preserve">- </w:t>
      </w:r>
      <w:r w:rsidR="006A2475">
        <w:rPr>
          <w:szCs w:val="24"/>
        </w:rPr>
        <w:t>pH</w:t>
      </w:r>
      <w:r w:rsidR="00F20FE6" w:rsidRPr="006A2475">
        <w:rPr>
          <w:szCs w:val="24"/>
        </w:rPr>
        <w:t xml:space="preserve"> –</w:t>
      </w:r>
      <w:r w:rsidR="006A2475">
        <w:rPr>
          <w:szCs w:val="24"/>
        </w:rPr>
        <w:t xml:space="preserve"> SR ISO</w:t>
      </w:r>
      <w:r w:rsidR="00F20FE6" w:rsidRPr="006A2475">
        <w:rPr>
          <w:szCs w:val="24"/>
        </w:rPr>
        <w:t xml:space="preserve"> 10523/2012</w:t>
      </w:r>
    </w:p>
    <w:p w:rsidR="005C52F7" w:rsidRPr="006A2475" w:rsidRDefault="00F20FE6" w:rsidP="005C52F7">
      <w:pPr>
        <w:jc w:val="both"/>
        <w:rPr>
          <w:szCs w:val="24"/>
        </w:rPr>
      </w:pPr>
      <w:r w:rsidRPr="006A2475">
        <w:rPr>
          <w:szCs w:val="24"/>
        </w:rPr>
        <w:t>- Amoniu – SR ISO 7150-1/2001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lastRenderedPageBreak/>
        <w:t>- Nitriţi</w:t>
      </w:r>
      <w:r w:rsidR="00F20FE6" w:rsidRPr="006A2475">
        <w:rPr>
          <w:szCs w:val="24"/>
        </w:rPr>
        <w:t xml:space="preserve"> – SR EN 26777/2002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Nitraţi</w:t>
      </w:r>
      <w:r w:rsidR="00F20FE6" w:rsidRPr="006A2475">
        <w:rPr>
          <w:szCs w:val="24"/>
        </w:rPr>
        <w:t xml:space="preserve"> – SR ISO 7890-3/2000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Oxidabilitate</w:t>
      </w:r>
      <w:r w:rsidR="00F20FE6" w:rsidRPr="006A2475">
        <w:rPr>
          <w:szCs w:val="24"/>
        </w:rPr>
        <w:t xml:space="preserve"> – SR EN ISO 8467/2001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Fier</w:t>
      </w:r>
      <w:r w:rsidR="00F20FE6" w:rsidRPr="006A2475">
        <w:rPr>
          <w:szCs w:val="24"/>
        </w:rPr>
        <w:t xml:space="preserve"> – SR ISO 6332/1996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Mangan</w:t>
      </w:r>
      <w:r w:rsidR="00F20FE6" w:rsidRPr="006A2475">
        <w:rPr>
          <w:szCs w:val="24"/>
        </w:rPr>
        <w:t xml:space="preserve"> – SR ISO 6333/1996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Clor rezidual liber</w:t>
      </w:r>
      <w:r w:rsidR="00F20FE6" w:rsidRPr="006A2475">
        <w:rPr>
          <w:szCs w:val="24"/>
        </w:rPr>
        <w:t xml:space="preserve"> – SR EN ISO 7393-2/2002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 xml:space="preserve">- Cloruri </w:t>
      </w:r>
      <w:r w:rsidR="00F20FE6" w:rsidRPr="006A2475">
        <w:rPr>
          <w:szCs w:val="24"/>
        </w:rPr>
        <w:t>– SR ISO 9297/2001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>- Turbiditate</w:t>
      </w:r>
      <w:r w:rsidR="00F20FE6" w:rsidRPr="006A2475">
        <w:rPr>
          <w:szCs w:val="24"/>
        </w:rPr>
        <w:t xml:space="preserve"> – SR EN ISO 7027/2001</w:t>
      </w:r>
    </w:p>
    <w:p w:rsidR="00F20FE6" w:rsidRPr="006A2475" w:rsidRDefault="00F20FE6" w:rsidP="005C52F7">
      <w:pPr>
        <w:jc w:val="both"/>
        <w:rPr>
          <w:szCs w:val="24"/>
        </w:rPr>
      </w:pPr>
      <w:r w:rsidRPr="006A2475">
        <w:rPr>
          <w:szCs w:val="24"/>
        </w:rPr>
        <w:t>- Duritate totală</w:t>
      </w:r>
    </w:p>
    <w:p w:rsidR="00F20FE6" w:rsidRPr="006A2475" w:rsidRDefault="00F20FE6" w:rsidP="005C52F7">
      <w:pPr>
        <w:jc w:val="both"/>
        <w:rPr>
          <w:szCs w:val="24"/>
        </w:rPr>
      </w:pPr>
      <w:r w:rsidRPr="006A2475">
        <w:rPr>
          <w:szCs w:val="24"/>
        </w:rPr>
        <w:t xml:space="preserve">- </w:t>
      </w:r>
      <w:r w:rsidR="00A97F98" w:rsidRPr="006A2475">
        <w:rPr>
          <w:szCs w:val="24"/>
        </w:rPr>
        <w:t>Cianuri libere și totale</w:t>
      </w:r>
    </w:p>
    <w:p w:rsidR="00A97F98" w:rsidRPr="006A2475" w:rsidRDefault="00A97F98" w:rsidP="005C52F7">
      <w:pPr>
        <w:jc w:val="both"/>
        <w:rPr>
          <w:szCs w:val="24"/>
        </w:rPr>
      </w:pPr>
      <w:r w:rsidRPr="006A2475">
        <w:rPr>
          <w:szCs w:val="24"/>
        </w:rPr>
        <w:t>- Crom, Cupru, Plumb</w:t>
      </w:r>
      <w:r w:rsidR="00261E82" w:rsidRPr="006A2475">
        <w:rPr>
          <w:szCs w:val="24"/>
        </w:rPr>
        <w:t>, Arsen</w:t>
      </w:r>
      <w:r w:rsidR="006A2475">
        <w:rPr>
          <w:szCs w:val="24"/>
        </w:rPr>
        <w:t>, Aluminiu</w:t>
      </w:r>
    </w:p>
    <w:p w:rsidR="00A97F98" w:rsidRPr="006A2475" w:rsidRDefault="005C52F7" w:rsidP="00A97F98">
      <w:pPr>
        <w:jc w:val="both"/>
        <w:rPr>
          <w:b/>
          <w:szCs w:val="24"/>
        </w:rPr>
      </w:pPr>
      <w:r w:rsidRPr="006A2475">
        <w:rPr>
          <w:szCs w:val="24"/>
        </w:rPr>
        <w:t xml:space="preserve"> </w:t>
      </w:r>
      <w:r w:rsidR="00A97F98" w:rsidRPr="006A2475">
        <w:rPr>
          <w:b/>
          <w:szCs w:val="24"/>
        </w:rPr>
        <w:t xml:space="preserve">Laboratorul – </w:t>
      </w:r>
      <w:r w:rsidR="006A2475">
        <w:rPr>
          <w:b/>
          <w:szCs w:val="24"/>
        </w:rPr>
        <w:t>SC COMPANIA DE APĂ</w:t>
      </w:r>
      <w:bookmarkStart w:id="0" w:name="_GoBack"/>
      <w:bookmarkEnd w:id="0"/>
      <w:r w:rsidR="00A97F98" w:rsidRPr="006A2475">
        <w:rPr>
          <w:b/>
          <w:szCs w:val="24"/>
        </w:rPr>
        <w:t xml:space="preserve"> ARAD SA</w:t>
      </w:r>
    </w:p>
    <w:p w:rsidR="00A97F98" w:rsidRPr="006A2475" w:rsidRDefault="00A97F98" w:rsidP="00A97F98">
      <w:pPr>
        <w:jc w:val="both"/>
        <w:rPr>
          <w:szCs w:val="24"/>
        </w:rPr>
      </w:pPr>
      <w:r w:rsidRPr="006A2475">
        <w:rPr>
          <w:szCs w:val="24"/>
        </w:rPr>
        <w:tab/>
      </w:r>
      <w:r w:rsidRPr="006A2475">
        <w:rPr>
          <w:szCs w:val="24"/>
        </w:rPr>
        <w:t>- în curs de înregistrare la Ministerul Sănătății.</w:t>
      </w:r>
    </w:p>
    <w:p w:rsidR="00A97F98" w:rsidRPr="006A2475" w:rsidRDefault="00A97F98" w:rsidP="00A97F98">
      <w:pPr>
        <w:jc w:val="both"/>
        <w:rPr>
          <w:szCs w:val="24"/>
        </w:rPr>
      </w:pPr>
      <w:r w:rsidRPr="006A2475">
        <w:rPr>
          <w:szCs w:val="24"/>
        </w:rPr>
        <w:tab/>
        <w:t>- alte acreditări SR ISO 9001/2008 valabil până la</w:t>
      </w:r>
      <w:r w:rsidRPr="006A2475">
        <w:rPr>
          <w:szCs w:val="24"/>
        </w:rPr>
        <w:t xml:space="preserve"> 18.06.2016</w:t>
      </w:r>
    </w:p>
    <w:p w:rsidR="00A97F98" w:rsidRPr="006A2475" w:rsidRDefault="00A97F98" w:rsidP="00A97F98">
      <w:pPr>
        <w:jc w:val="both"/>
        <w:rPr>
          <w:szCs w:val="24"/>
        </w:rPr>
      </w:pPr>
      <w:r w:rsidRPr="006A2475">
        <w:rPr>
          <w:szCs w:val="24"/>
        </w:rPr>
        <w:t xml:space="preserve">                                    SR ISO 14001/2005 valabil până la</w:t>
      </w:r>
      <w:r w:rsidRPr="006A2475">
        <w:rPr>
          <w:szCs w:val="24"/>
        </w:rPr>
        <w:t xml:space="preserve"> data de 18.06.2016</w:t>
      </w:r>
    </w:p>
    <w:p w:rsidR="00A97F98" w:rsidRPr="006A2475" w:rsidRDefault="00A97F98" w:rsidP="00A97F98">
      <w:pPr>
        <w:jc w:val="both"/>
        <w:rPr>
          <w:szCs w:val="24"/>
        </w:rPr>
      </w:pPr>
      <w:r w:rsidRPr="006A2475">
        <w:rPr>
          <w:szCs w:val="24"/>
        </w:rPr>
        <w:t xml:space="preserve">                                    </w:t>
      </w:r>
      <w:r w:rsidRPr="006A2475">
        <w:rPr>
          <w:szCs w:val="24"/>
        </w:rPr>
        <w:t>OH SAH 18001/2007</w:t>
      </w:r>
      <w:r w:rsidRPr="006A2475">
        <w:rPr>
          <w:szCs w:val="24"/>
        </w:rPr>
        <w:t xml:space="preserve"> valabil până</w:t>
      </w:r>
      <w:r w:rsidRPr="006A2475">
        <w:rPr>
          <w:szCs w:val="24"/>
        </w:rPr>
        <w:t xml:space="preserve"> la data de 18.06.2016</w:t>
      </w:r>
    </w:p>
    <w:p w:rsidR="00641624" w:rsidRPr="006A2475" w:rsidRDefault="00641624" w:rsidP="00A97F98">
      <w:pPr>
        <w:jc w:val="both"/>
        <w:rPr>
          <w:szCs w:val="24"/>
        </w:rPr>
      </w:pPr>
      <w:r w:rsidRPr="006A2475">
        <w:rPr>
          <w:b/>
          <w:szCs w:val="24"/>
        </w:rPr>
        <w:t xml:space="preserve">  </w:t>
      </w:r>
      <w:r w:rsidRPr="006A2475">
        <w:rPr>
          <w:szCs w:val="24"/>
        </w:rPr>
        <w:t xml:space="preserve">Parametri monitorizați - </w:t>
      </w:r>
      <w:r w:rsidRPr="006A2475">
        <w:rPr>
          <w:szCs w:val="24"/>
        </w:rPr>
        <w:t>Metoda de analiză</w:t>
      </w:r>
    </w:p>
    <w:p w:rsidR="00641624" w:rsidRPr="006A2475" w:rsidRDefault="00641624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 xml:space="preserve">E. </w:t>
      </w:r>
      <w:r w:rsidRPr="006A2475">
        <w:rPr>
          <w:szCs w:val="24"/>
        </w:rPr>
        <w:t>C</w:t>
      </w:r>
      <w:r w:rsidRPr="006A2475">
        <w:rPr>
          <w:szCs w:val="24"/>
        </w:rPr>
        <w:t>oli</w:t>
      </w:r>
      <w:r w:rsidRPr="006A2475">
        <w:rPr>
          <w:szCs w:val="24"/>
        </w:rPr>
        <w:t xml:space="preserve"> - SR EN ISO 9308-1/</w:t>
      </w:r>
      <w:r w:rsidRPr="006A2475">
        <w:rPr>
          <w:szCs w:val="24"/>
        </w:rPr>
        <w:t>2004</w:t>
      </w:r>
    </w:p>
    <w:p w:rsidR="00FD33F6" w:rsidRPr="006A2475" w:rsidRDefault="00FD33F6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Bacterii coliforme</w:t>
      </w:r>
      <w:r w:rsidRPr="006A2475">
        <w:rPr>
          <w:szCs w:val="24"/>
        </w:rPr>
        <w:t xml:space="preserve"> - SR EN ISO 9308-1/</w:t>
      </w:r>
      <w:r w:rsidRPr="006A2475">
        <w:rPr>
          <w:szCs w:val="24"/>
        </w:rPr>
        <w:t>2004</w:t>
      </w:r>
    </w:p>
    <w:p w:rsidR="003B48C8" w:rsidRPr="006A2475" w:rsidRDefault="003B48C8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 xml:space="preserve">Enterococi  </w:t>
      </w:r>
      <w:r w:rsidRPr="006A2475">
        <w:rPr>
          <w:szCs w:val="24"/>
        </w:rPr>
        <w:t>- SR EN ISO 7899-2/</w:t>
      </w:r>
      <w:r w:rsidRPr="006A2475">
        <w:rPr>
          <w:szCs w:val="24"/>
        </w:rPr>
        <w:t>2002</w:t>
      </w:r>
    </w:p>
    <w:p w:rsidR="00E613E5" w:rsidRPr="006A2475" w:rsidRDefault="00E613E5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 xml:space="preserve">Clostridium perfringens </w:t>
      </w:r>
      <w:r w:rsidRPr="006A2475">
        <w:rPr>
          <w:szCs w:val="24"/>
        </w:rPr>
        <w:t xml:space="preserve">- </w:t>
      </w:r>
      <w:r w:rsidR="006A2475" w:rsidRPr="006A2475">
        <w:rPr>
          <w:szCs w:val="24"/>
        </w:rPr>
        <w:t>SR ISO 6461-2/</w:t>
      </w:r>
      <w:r w:rsidRPr="006A2475">
        <w:rPr>
          <w:szCs w:val="24"/>
        </w:rPr>
        <w:t>2002</w:t>
      </w:r>
    </w:p>
    <w:p w:rsidR="00E613E5" w:rsidRPr="006A2475" w:rsidRDefault="00E613E5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 xml:space="preserve">Număr colonii la 22 </w:t>
      </w:r>
      <w:smartTag w:uri="urn:schemas-microsoft-com:office:smarttags" w:element="metricconverter">
        <w:smartTagPr>
          <w:attr w:name="ProductID" w:val="0C"/>
        </w:smartTagPr>
        <w:r w:rsidRPr="006A2475">
          <w:rPr>
            <w:szCs w:val="24"/>
            <w:vertAlign w:val="superscript"/>
          </w:rPr>
          <w:t>0</w:t>
        </w:r>
        <w:r w:rsidRPr="006A2475">
          <w:rPr>
            <w:szCs w:val="24"/>
          </w:rPr>
          <w:t>C</w:t>
        </w:r>
      </w:smartTag>
      <w:r w:rsidRPr="006A2475">
        <w:rPr>
          <w:szCs w:val="24"/>
        </w:rPr>
        <w:t xml:space="preserve"> şi 37 </w:t>
      </w:r>
      <w:r w:rsidRPr="006A2475">
        <w:rPr>
          <w:szCs w:val="24"/>
          <w:vertAlign w:val="superscript"/>
        </w:rPr>
        <w:t>0</w:t>
      </w:r>
      <w:r w:rsidRPr="006A2475">
        <w:rPr>
          <w:szCs w:val="24"/>
        </w:rPr>
        <w:t>C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EN ISO 6222/</w:t>
      </w:r>
      <w:r w:rsidRPr="006A2475">
        <w:rPr>
          <w:szCs w:val="24"/>
        </w:rPr>
        <w:t>2004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Clor rezidual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EN ISO 7393-2/</w:t>
      </w:r>
      <w:r w:rsidRPr="006A2475">
        <w:rPr>
          <w:szCs w:val="24"/>
        </w:rPr>
        <w:t>2002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Turbiditate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EN ISO 7027/</w:t>
      </w:r>
      <w:r w:rsidRPr="006A2475">
        <w:rPr>
          <w:szCs w:val="24"/>
        </w:rPr>
        <w:t>2001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Conductivitate</w:t>
      </w:r>
      <w:r w:rsidRPr="006A2475">
        <w:rPr>
          <w:szCs w:val="24"/>
        </w:rPr>
        <w:t xml:space="preserve"> - </w:t>
      </w:r>
      <w:r w:rsidRPr="006A2475">
        <w:rPr>
          <w:szCs w:val="24"/>
        </w:rPr>
        <w:t>SR EN 27888/ 7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pH</w:t>
      </w:r>
      <w:r w:rsidRPr="006A2475">
        <w:rPr>
          <w:szCs w:val="24"/>
        </w:rPr>
        <w:t xml:space="preserve"> - </w:t>
      </w:r>
      <w:r w:rsidRPr="006A2475">
        <w:rPr>
          <w:szCs w:val="24"/>
        </w:rPr>
        <w:t>SR ISO 10523/2009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Amoniu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ISO 7150-1/</w:t>
      </w:r>
      <w:r w:rsidRPr="006A2475">
        <w:rPr>
          <w:szCs w:val="24"/>
        </w:rPr>
        <w:t>2001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Nitriţi</w:t>
      </w:r>
      <w:r w:rsidRPr="006A2475">
        <w:rPr>
          <w:szCs w:val="24"/>
        </w:rPr>
        <w:t xml:space="preserve"> - </w:t>
      </w:r>
      <w:r w:rsidRPr="006A2475">
        <w:rPr>
          <w:szCs w:val="24"/>
        </w:rPr>
        <w:t>SR EN ISO 26777/96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Nitraţi</w:t>
      </w:r>
      <w:r w:rsidRPr="006A2475">
        <w:rPr>
          <w:szCs w:val="24"/>
        </w:rPr>
        <w:t xml:space="preserve"> - </w:t>
      </w:r>
      <w:r w:rsidR="006A2475" w:rsidRPr="006A2475">
        <w:rPr>
          <w:bCs/>
          <w:szCs w:val="24"/>
        </w:rPr>
        <w:t>SR EN ISO 10304-4/</w:t>
      </w:r>
      <w:r w:rsidRPr="006A2475">
        <w:rPr>
          <w:bCs/>
          <w:szCs w:val="24"/>
        </w:rPr>
        <w:t>2009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Cloruri</w:t>
      </w:r>
      <w:r w:rsidRPr="006A2475">
        <w:rPr>
          <w:szCs w:val="24"/>
        </w:rPr>
        <w:t xml:space="preserve"> - </w:t>
      </w:r>
      <w:r w:rsidR="006A2475" w:rsidRPr="006A2475">
        <w:rPr>
          <w:bCs/>
          <w:szCs w:val="24"/>
        </w:rPr>
        <w:t>SR EN ISO 10304-4/</w:t>
      </w:r>
      <w:r w:rsidRPr="006A2475">
        <w:rPr>
          <w:bCs/>
          <w:szCs w:val="24"/>
        </w:rPr>
        <w:t>2009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Sulfaţi</w:t>
      </w:r>
      <w:r w:rsidRPr="006A2475">
        <w:rPr>
          <w:szCs w:val="24"/>
        </w:rPr>
        <w:t xml:space="preserve"> - </w:t>
      </w:r>
      <w:r w:rsidR="006A2475" w:rsidRPr="006A2475">
        <w:rPr>
          <w:bCs/>
          <w:szCs w:val="24"/>
        </w:rPr>
        <w:t>SR EN ISO 10304-4/</w:t>
      </w:r>
      <w:r w:rsidRPr="006A2475">
        <w:rPr>
          <w:bCs/>
          <w:szCs w:val="24"/>
        </w:rPr>
        <w:t>2009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Duritate totală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ISO 6059/</w:t>
      </w:r>
      <w:r w:rsidRPr="006A2475">
        <w:rPr>
          <w:szCs w:val="24"/>
        </w:rPr>
        <w:t>2008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 xml:space="preserve">Oxidabilitate - </w:t>
      </w:r>
      <w:r w:rsidR="006A2475" w:rsidRPr="006A2475">
        <w:rPr>
          <w:szCs w:val="24"/>
        </w:rPr>
        <w:t>SR ISO 8467/</w:t>
      </w:r>
      <w:r w:rsidRPr="006A2475">
        <w:rPr>
          <w:szCs w:val="24"/>
        </w:rPr>
        <w:t>2001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Fier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EN ISO 15586/</w:t>
      </w:r>
      <w:r w:rsidRPr="006A2475">
        <w:rPr>
          <w:szCs w:val="24"/>
        </w:rPr>
        <w:t>2008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Mangan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EN ISO 15586/</w:t>
      </w:r>
      <w:r w:rsidRPr="006A2475">
        <w:rPr>
          <w:szCs w:val="24"/>
        </w:rPr>
        <w:t>2008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>Arsen</w:t>
      </w:r>
      <w:r w:rsidRPr="006A2475">
        <w:rPr>
          <w:szCs w:val="24"/>
        </w:rPr>
        <w:t xml:space="preserve"> - </w:t>
      </w:r>
      <w:r w:rsidR="006A2475" w:rsidRPr="006A2475">
        <w:rPr>
          <w:szCs w:val="24"/>
        </w:rPr>
        <w:t>SR EN ISO 11969/</w:t>
      </w:r>
      <w:r w:rsidRPr="006A2475">
        <w:rPr>
          <w:szCs w:val="24"/>
        </w:rPr>
        <w:t>2007</w:t>
      </w:r>
    </w:p>
    <w:p w:rsidR="00261E82" w:rsidRPr="006A2475" w:rsidRDefault="00261E82" w:rsidP="00641624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6A2475">
        <w:rPr>
          <w:szCs w:val="24"/>
        </w:rPr>
        <w:t xml:space="preserve">Aluminiu </w:t>
      </w:r>
      <w:r w:rsidRPr="006A2475">
        <w:rPr>
          <w:szCs w:val="24"/>
        </w:rPr>
        <w:t xml:space="preserve">- </w:t>
      </w:r>
      <w:r w:rsidR="006A2475" w:rsidRPr="006A2475">
        <w:rPr>
          <w:szCs w:val="24"/>
        </w:rPr>
        <w:t>SR EN ISO 15586/</w:t>
      </w:r>
      <w:r w:rsidR="006A2475" w:rsidRPr="006A2475">
        <w:rPr>
          <w:szCs w:val="24"/>
        </w:rPr>
        <w:t>2004</w:t>
      </w:r>
    </w:p>
    <w:p w:rsidR="005C52F7" w:rsidRPr="006A2475" w:rsidRDefault="005C52F7" w:rsidP="005C52F7">
      <w:pPr>
        <w:jc w:val="both"/>
        <w:rPr>
          <w:szCs w:val="24"/>
        </w:rPr>
      </w:pPr>
      <w:r w:rsidRPr="006A2475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2F7" w:rsidRPr="006A2475" w:rsidRDefault="005C52F7" w:rsidP="009D1B99">
      <w:pPr>
        <w:jc w:val="both"/>
        <w:rPr>
          <w:szCs w:val="24"/>
        </w:rPr>
      </w:pPr>
    </w:p>
    <w:p w:rsidR="00C617CB" w:rsidRDefault="006A2475" w:rsidP="006A2475">
      <w:pPr>
        <w:jc w:val="center"/>
        <w:rPr>
          <w:szCs w:val="24"/>
        </w:rPr>
      </w:pPr>
      <w:r>
        <w:rPr>
          <w:szCs w:val="24"/>
        </w:rPr>
        <w:t>DIRECTOR EXECUTIV</w:t>
      </w:r>
    </w:p>
    <w:p w:rsidR="006A2475" w:rsidRDefault="006A2475" w:rsidP="006A2475">
      <w:pPr>
        <w:jc w:val="center"/>
        <w:rPr>
          <w:szCs w:val="24"/>
        </w:rPr>
      </w:pPr>
      <w:r>
        <w:rPr>
          <w:szCs w:val="24"/>
        </w:rPr>
        <w:t>DR. NICOLESCU LAURA</w:t>
      </w:r>
    </w:p>
    <w:p w:rsidR="006A2475" w:rsidRDefault="006A2475" w:rsidP="006A2475">
      <w:pPr>
        <w:jc w:val="center"/>
        <w:rPr>
          <w:szCs w:val="24"/>
        </w:rPr>
      </w:pPr>
    </w:p>
    <w:p w:rsidR="006A2475" w:rsidRDefault="006A2475" w:rsidP="006A2475">
      <w:pPr>
        <w:jc w:val="center"/>
        <w:rPr>
          <w:szCs w:val="24"/>
        </w:rPr>
      </w:pPr>
    </w:p>
    <w:p w:rsidR="006A2475" w:rsidRDefault="006A2475" w:rsidP="006A2475">
      <w:pPr>
        <w:jc w:val="center"/>
        <w:rPr>
          <w:szCs w:val="24"/>
        </w:rPr>
      </w:pPr>
    </w:p>
    <w:p w:rsidR="006A2475" w:rsidRDefault="006A2475" w:rsidP="006A2475">
      <w:pPr>
        <w:jc w:val="center"/>
        <w:rPr>
          <w:szCs w:val="24"/>
        </w:rPr>
      </w:pPr>
    </w:p>
    <w:p w:rsidR="006A2475" w:rsidRDefault="006A2475" w:rsidP="006A2475">
      <w:pPr>
        <w:rPr>
          <w:sz w:val="20"/>
        </w:rPr>
      </w:pPr>
      <w:r w:rsidRPr="006A2475">
        <w:rPr>
          <w:sz w:val="20"/>
        </w:rPr>
        <w:t>Întocmit/redactat</w:t>
      </w:r>
    </w:p>
    <w:p w:rsidR="006A2475" w:rsidRPr="006A2475" w:rsidRDefault="006A2475" w:rsidP="006A2475">
      <w:pPr>
        <w:rPr>
          <w:sz w:val="20"/>
        </w:rPr>
      </w:pPr>
      <w:r>
        <w:rPr>
          <w:sz w:val="20"/>
        </w:rPr>
        <w:t>As. Lorincz Agneta</w:t>
      </w:r>
    </w:p>
    <w:sectPr w:rsidR="006A2475" w:rsidRPr="006A2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287E"/>
    <w:multiLevelType w:val="hybridMultilevel"/>
    <w:tmpl w:val="13621196"/>
    <w:lvl w:ilvl="0" w:tplc="049C42E0">
      <w:start w:val="19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75"/>
    <w:rsid w:val="000E78DD"/>
    <w:rsid w:val="00261E82"/>
    <w:rsid w:val="002A7C75"/>
    <w:rsid w:val="003B48C8"/>
    <w:rsid w:val="005C52F7"/>
    <w:rsid w:val="00641624"/>
    <w:rsid w:val="006A2475"/>
    <w:rsid w:val="009D1B99"/>
    <w:rsid w:val="00A97F98"/>
    <w:rsid w:val="00C617CB"/>
    <w:rsid w:val="00E613E5"/>
    <w:rsid w:val="00F20FE6"/>
    <w:rsid w:val="00FD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9D1B99"/>
    <w:pPr>
      <w:keepNext/>
      <w:jc w:val="center"/>
      <w:outlineLvl w:val="4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D1B99"/>
    <w:rPr>
      <w:rFonts w:ascii="Times New Roman" w:eastAsia="Times New Roman" w:hAnsi="Times New Roman" w:cs="Times New Roman"/>
      <w:b/>
      <w:color w:val="0000FF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qFormat/>
    <w:rsid w:val="009D1B99"/>
    <w:pPr>
      <w:jc w:val="center"/>
    </w:pPr>
    <w:rPr>
      <w:b/>
      <w:color w:val="0000FF"/>
      <w:sz w:val="28"/>
    </w:rPr>
  </w:style>
  <w:style w:type="character" w:styleId="Hyperlink">
    <w:name w:val="Hyperlink"/>
    <w:rsid w:val="009D1B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1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9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5">
    <w:name w:val="heading 5"/>
    <w:basedOn w:val="Normal"/>
    <w:next w:val="Normal"/>
    <w:link w:val="Heading5Char"/>
    <w:qFormat/>
    <w:rsid w:val="009D1B99"/>
    <w:pPr>
      <w:keepNext/>
      <w:jc w:val="center"/>
      <w:outlineLvl w:val="4"/>
    </w:pPr>
    <w:rPr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D1B99"/>
    <w:rPr>
      <w:rFonts w:ascii="Times New Roman" w:eastAsia="Times New Roman" w:hAnsi="Times New Roman" w:cs="Times New Roman"/>
      <w:b/>
      <w:color w:val="0000FF"/>
      <w:sz w:val="24"/>
      <w:szCs w:val="20"/>
      <w:lang w:val="ro-RO" w:eastAsia="ro-RO"/>
    </w:rPr>
  </w:style>
  <w:style w:type="paragraph" w:styleId="Caption">
    <w:name w:val="caption"/>
    <w:basedOn w:val="Normal"/>
    <w:next w:val="Normal"/>
    <w:qFormat/>
    <w:rsid w:val="009D1B99"/>
    <w:pPr>
      <w:jc w:val="center"/>
    </w:pPr>
    <w:rPr>
      <w:b/>
      <w:color w:val="0000FF"/>
      <w:sz w:val="28"/>
    </w:rPr>
  </w:style>
  <w:style w:type="character" w:styleId="Hyperlink">
    <w:name w:val="Hyperlink"/>
    <w:rsid w:val="009D1B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a.tudor@insp.gov.ro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spj.ar@rdslink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dsp2</dc:creator>
  <cp:keywords/>
  <dc:description/>
  <cp:lastModifiedBy>dsp2</cp:lastModifiedBy>
  <cp:revision>9</cp:revision>
  <dcterms:created xsi:type="dcterms:W3CDTF">2015-01-30T06:58:00Z</dcterms:created>
  <dcterms:modified xsi:type="dcterms:W3CDTF">2015-01-30T08:20:00Z</dcterms:modified>
</cp:coreProperties>
</file>